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B5C" w:rsidRDefault="004E1299">
      <w:pPr>
        <w:snapToGrid w:val="0"/>
        <w:spacing w:line="360" w:lineRule="auto"/>
        <w:jc w:val="center"/>
        <w:rPr>
          <w:rFonts w:ascii="宋体" w:eastAsia="宋体" w:hAnsi="宋体"/>
          <w:color w:val="000000"/>
          <w:sz w:val="32"/>
          <w:szCs w:val="32"/>
        </w:rPr>
      </w:pPr>
      <w:r>
        <w:rPr>
          <w:rFonts w:ascii="宋体" w:eastAsia="宋体" w:hAnsi="宋体"/>
          <w:b/>
          <w:bCs/>
          <w:color w:val="000000"/>
          <w:sz w:val="32"/>
          <w:szCs w:val="32"/>
        </w:rPr>
        <w:t>附件1 华南农业博物馆简介</w:t>
      </w:r>
    </w:p>
    <w:p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华南农业博物馆以华南地区农业和自然资源为主题，设有广东农业历史、传统农具、土壤与岩石、植物世界、林业资源与利用、动物世界、昆虫世界、南海海洋生物共</w:t>
      </w:r>
      <w:r>
        <w:rPr>
          <w:rFonts w:ascii="Calibri" w:eastAsia="Calibri" w:hAnsi="Calibri"/>
          <w:color w:val="000000"/>
          <w:sz w:val="24"/>
          <w:szCs w:val="24"/>
        </w:rPr>
        <w:t>8</w:t>
      </w:r>
      <w:r>
        <w:rPr>
          <w:rFonts w:ascii="宋体" w:eastAsia="宋体" w:hAnsi="宋体"/>
          <w:color w:val="000000"/>
          <w:sz w:val="24"/>
          <w:szCs w:val="24"/>
        </w:rPr>
        <w:t>个展厅，此外还设立演播室、专题展厅、</w:t>
      </w:r>
      <w:r w:rsidR="004407E6">
        <w:rPr>
          <w:rFonts w:ascii="宋体" w:eastAsia="宋体" w:hAnsi="宋体" w:hint="eastAsia"/>
          <w:color w:val="000000"/>
          <w:sz w:val="24"/>
          <w:szCs w:val="24"/>
        </w:rPr>
        <w:t>科普活动</w:t>
      </w:r>
      <w:r>
        <w:rPr>
          <w:rFonts w:ascii="宋体" w:eastAsia="宋体" w:hAnsi="宋体"/>
          <w:color w:val="000000"/>
          <w:sz w:val="24"/>
          <w:szCs w:val="24"/>
        </w:rPr>
        <w:t>等</w:t>
      </w:r>
      <w:r w:rsidR="004407E6">
        <w:rPr>
          <w:rFonts w:ascii="宋体" w:eastAsia="宋体" w:hAnsi="宋体" w:hint="eastAsia"/>
          <w:color w:val="000000"/>
          <w:sz w:val="24"/>
          <w:szCs w:val="24"/>
        </w:rPr>
        <w:t>区域</w:t>
      </w:r>
      <w:bookmarkStart w:id="0" w:name="_GoBack"/>
      <w:bookmarkEnd w:id="0"/>
      <w:r>
        <w:rPr>
          <w:rFonts w:ascii="宋体" w:eastAsia="宋体" w:hAnsi="宋体"/>
          <w:color w:val="000000"/>
          <w:sz w:val="24"/>
          <w:szCs w:val="24"/>
        </w:rPr>
        <w:t>。</w:t>
      </w:r>
    </w:p>
    <w:p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华南农业博物馆坐落在16号楼，展览面积约为</w:t>
      </w:r>
      <w:r>
        <w:rPr>
          <w:rFonts w:ascii="Calibri" w:eastAsia="Calibri" w:hAnsi="Calibri"/>
          <w:color w:val="000000"/>
          <w:sz w:val="24"/>
          <w:szCs w:val="24"/>
        </w:rPr>
        <w:t>3200 m</w:t>
      </w:r>
      <w:r>
        <w:rPr>
          <w:rFonts w:ascii="Calibri" w:eastAsia="Calibri" w:hAnsi="Calibri"/>
          <w:color w:val="000000"/>
          <w:sz w:val="23"/>
          <w:szCs w:val="23"/>
          <w:vertAlign w:val="superscript"/>
        </w:rPr>
        <w:t>2</w:t>
      </w:r>
      <w:r>
        <w:rPr>
          <w:rFonts w:ascii="宋体" w:eastAsia="宋体" w:hAnsi="宋体"/>
          <w:color w:val="000000"/>
          <w:sz w:val="24"/>
          <w:szCs w:val="24"/>
        </w:rPr>
        <w:t>，于</w:t>
      </w:r>
      <w:r>
        <w:rPr>
          <w:rFonts w:ascii="Calibri" w:eastAsia="Calibri" w:hAnsi="Calibri"/>
          <w:color w:val="000000"/>
          <w:sz w:val="24"/>
          <w:szCs w:val="24"/>
        </w:rPr>
        <w:t>1935</w:t>
      </w:r>
      <w:r>
        <w:rPr>
          <w:rFonts w:ascii="宋体" w:eastAsia="宋体" w:hAnsi="宋体"/>
          <w:color w:val="000000"/>
          <w:sz w:val="24"/>
          <w:szCs w:val="24"/>
        </w:rPr>
        <w:t>年建成，原为国立中山大学教职员宿舍，解放后为华南农业大学图书馆、行政办公楼。</w:t>
      </w:r>
      <w:r>
        <w:rPr>
          <w:rFonts w:ascii="Calibri" w:eastAsia="Calibri" w:hAnsi="Calibri"/>
          <w:color w:val="000000"/>
          <w:sz w:val="24"/>
          <w:szCs w:val="24"/>
        </w:rPr>
        <w:t>2002</w:t>
      </w:r>
      <w:r>
        <w:rPr>
          <w:rFonts w:ascii="宋体" w:eastAsia="宋体" w:hAnsi="宋体"/>
          <w:color w:val="000000"/>
          <w:sz w:val="24"/>
          <w:szCs w:val="24"/>
        </w:rPr>
        <w:t>年</w:t>
      </w:r>
      <w:r>
        <w:rPr>
          <w:rFonts w:ascii="Calibri" w:eastAsia="Calibri" w:hAnsi="Calibri"/>
          <w:color w:val="000000"/>
          <w:sz w:val="24"/>
          <w:szCs w:val="24"/>
        </w:rPr>
        <w:t>7</w:t>
      </w:r>
      <w:r>
        <w:rPr>
          <w:rFonts w:ascii="宋体" w:eastAsia="宋体" w:hAnsi="宋体"/>
          <w:color w:val="000000"/>
          <w:sz w:val="24"/>
          <w:szCs w:val="24"/>
        </w:rPr>
        <w:t>月，广州市人民政府公布包括此楼在内的“中山大学石牌旧址建筑群”为文物保护单位。</w:t>
      </w:r>
    </w:p>
    <w:p w:rsidR="005F0B5C" w:rsidRDefault="004E1299">
      <w:pPr>
        <w:snapToGrid w:val="0"/>
        <w:spacing w:line="360" w:lineRule="auto"/>
        <w:jc w:val="center"/>
        <w:rPr>
          <w:rFonts w:ascii="宋体" w:eastAsia="宋体" w:hAnsi="宋体"/>
          <w:color w:val="000000"/>
          <w:sz w:val="24"/>
          <w:szCs w:val="24"/>
        </w:rPr>
      </w:pPr>
      <w:r>
        <w:rPr>
          <w:rFonts w:ascii="宋体" w:eastAsia="宋体" w:hAnsi="宋体"/>
          <w:b/>
          <w:bCs/>
          <w:color w:val="000000"/>
          <w:sz w:val="28"/>
          <w:szCs w:val="28"/>
        </w:rPr>
        <w:t>展厅简介</w:t>
      </w:r>
    </w:p>
    <w:p w:rsidR="005F0B5C" w:rsidRDefault="004E1299">
      <w:pPr>
        <w:snapToGrid w:val="0"/>
        <w:spacing w:line="360" w:lineRule="auto"/>
        <w:rPr>
          <w:rFonts w:ascii="宋体" w:eastAsia="宋体" w:hAnsi="宋体"/>
          <w:b/>
          <w:bCs/>
          <w:color w:val="000000"/>
          <w:sz w:val="28"/>
          <w:szCs w:val="28"/>
        </w:rPr>
      </w:pPr>
      <w:r>
        <w:rPr>
          <w:rFonts w:ascii="宋体" w:eastAsia="宋体" w:hAnsi="宋体"/>
          <w:b/>
          <w:bCs/>
          <w:color w:val="000000"/>
          <w:sz w:val="28"/>
          <w:szCs w:val="28"/>
        </w:rPr>
        <w:t>广东农业历史</w:t>
      </w:r>
    </w:p>
    <w:p w:rsidR="005F0B5C" w:rsidRDefault="004E1299">
      <w:pPr>
        <w:snapToGrid w:val="0"/>
        <w:spacing w:line="360" w:lineRule="auto"/>
        <w:ind w:firstLineChars="200" w:firstLine="480"/>
        <w:jc w:val="left"/>
        <w:rPr>
          <w:rFonts w:ascii="微软雅黑" w:eastAsia="微软雅黑" w:hAnsi="微软雅黑"/>
          <w:color w:val="000000"/>
          <w:szCs w:val="21"/>
        </w:rPr>
      </w:pPr>
      <w:r>
        <w:rPr>
          <w:rFonts w:ascii="宋体" w:eastAsia="宋体" w:hAnsi="宋体"/>
          <w:color w:val="000000"/>
          <w:sz w:val="24"/>
          <w:szCs w:val="24"/>
        </w:rPr>
        <w:t>本厅展示了先秦、汉晋、隋唐宋元、明清以及近代五个部分内容。展厅通过版面、实物、场景以及视频相结合概括性的展示了广东农业发生发展的历程、主要成就及地域特征。</w:t>
      </w:r>
    </w:p>
    <w:p w:rsidR="005F0B5C" w:rsidRDefault="004E1299">
      <w:pPr>
        <w:snapToGrid w:val="0"/>
        <w:spacing w:line="360" w:lineRule="auto"/>
        <w:ind w:firstLineChars="200" w:firstLine="480"/>
        <w:jc w:val="left"/>
        <w:rPr>
          <w:rFonts w:ascii="微软雅黑" w:eastAsia="微软雅黑" w:hAnsi="微软雅黑"/>
          <w:color w:val="000000"/>
          <w:szCs w:val="21"/>
        </w:rPr>
      </w:pPr>
      <w:r>
        <w:rPr>
          <w:rFonts w:ascii="宋体" w:eastAsia="宋体" w:hAnsi="宋体"/>
          <w:color w:val="000000"/>
          <w:sz w:val="24"/>
          <w:szCs w:val="24"/>
        </w:rPr>
        <w:t>场景：刀跟火种、采集渔猎、海洋捕捞、葑田、黄猄蚁治虫、合浦采珠、黄道婆海南学艺、西江鱼花、桑基鱼塘、沙田围垦、广州西关花市。</w:t>
      </w:r>
    </w:p>
    <w:p w:rsidR="005F0B5C" w:rsidRDefault="004E1299">
      <w:pPr>
        <w:snapToGrid w:val="0"/>
        <w:spacing w:line="360" w:lineRule="auto"/>
        <w:rPr>
          <w:rFonts w:ascii="宋体" w:eastAsia="宋体" w:hAnsi="宋体"/>
          <w:b/>
          <w:bCs/>
          <w:color w:val="000000"/>
          <w:sz w:val="28"/>
          <w:szCs w:val="28"/>
        </w:rPr>
      </w:pPr>
      <w:r>
        <w:rPr>
          <w:rFonts w:ascii="宋体" w:eastAsia="宋体" w:hAnsi="宋体"/>
          <w:b/>
          <w:bCs/>
          <w:color w:val="000000"/>
          <w:sz w:val="28"/>
          <w:szCs w:val="28"/>
        </w:rPr>
        <w:t>传统农具</w:t>
      </w:r>
    </w:p>
    <w:p w:rsidR="005F0B5C" w:rsidRDefault="004E1299">
      <w:pPr>
        <w:snapToGrid w:val="0"/>
        <w:spacing w:line="360" w:lineRule="auto"/>
        <w:ind w:firstLineChars="200" w:firstLine="480"/>
        <w:jc w:val="left"/>
        <w:rPr>
          <w:rFonts w:ascii="微软雅黑" w:eastAsia="微软雅黑" w:hAnsi="微软雅黑"/>
          <w:color w:val="000000"/>
          <w:szCs w:val="21"/>
        </w:rPr>
      </w:pPr>
      <w:r>
        <w:rPr>
          <w:rFonts w:ascii="宋体" w:eastAsia="宋体" w:hAnsi="宋体"/>
          <w:color w:val="000000"/>
          <w:sz w:val="24"/>
          <w:szCs w:val="24"/>
        </w:rPr>
        <w:t>本厅展示了岭南地区大田类以及专门类农具</w:t>
      </w:r>
      <w:r>
        <w:rPr>
          <w:rFonts w:ascii="微软雅黑" w:eastAsia="微软雅黑" w:hAnsi="微软雅黑"/>
          <w:color w:val="000000"/>
          <w:sz w:val="24"/>
          <w:szCs w:val="24"/>
        </w:rPr>
        <w:t>3</w:t>
      </w:r>
      <w:r w:rsidR="00F13894">
        <w:rPr>
          <w:rFonts w:ascii="微软雅黑" w:eastAsia="微软雅黑" w:hAnsi="微软雅黑"/>
          <w:color w:val="000000"/>
          <w:sz w:val="24"/>
          <w:szCs w:val="24"/>
        </w:rPr>
        <w:t>34</w:t>
      </w:r>
      <w:r>
        <w:rPr>
          <w:rFonts w:ascii="宋体" w:eastAsia="宋体" w:hAnsi="宋体"/>
          <w:color w:val="000000"/>
          <w:sz w:val="24"/>
          <w:szCs w:val="24"/>
        </w:rPr>
        <w:t>件。展厅从农</w:t>
      </w:r>
      <w:r w:rsidR="00F13894">
        <w:rPr>
          <w:rFonts w:ascii="宋体" w:eastAsia="宋体" w:hAnsi="宋体"/>
          <w:color w:val="000000"/>
          <w:sz w:val="24"/>
          <w:szCs w:val="24"/>
        </w:rPr>
        <w:t>用器具的角度诠释了岭南农、林、牧、副、渔生产的过程，给参观者再</w:t>
      </w:r>
      <w:r w:rsidR="00F13894">
        <w:rPr>
          <w:rFonts w:ascii="宋体" w:eastAsia="宋体" w:hAnsi="宋体" w:hint="eastAsia"/>
          <w:color w:val="000000"/>
          <w:sz w:val="24"/>
          <w:szCs w:val="24"/>
        </w:rPr>
        <w:t>现</w:t>
      </w:r>
      <w:r>
        <w:rPr>
          <w:rFonts w:ascii="宋体" w:eastAsia="宋体" w:hAnsi="宋体"/>
          <w:color w:val="000000"/>
          <w:sz w:val="24"/>
          <w:szCs w:val="24"/>
        </w:rPr>
        <w:t>悠久而灿烂的岭南传统农业文明。</w:t>
      </w:r>
    </w:p>
    <w:p w:rsidR="005F0B5C" w:rsidRDefault="004E1299">
      <w:pPr>
        <w:snapToGrid w:val="0"/>
        <w:spacing w:line="360" w:lineRule="auto"/>
        <w:ind w:firstLineChars="200" w:firstLine="480"/>
        <w:jc w:val="left"/>
        <w:rPr>
          <w:rFonts w:ascii="微软雅黑" w:eastAsia="微软雅黑" w:hAnsi="微软雅黑"/>
          <w:color w:val="000000"/>
          <w:szCs w:val="21"/>
        </w:rPr>
      </w:pPr>
      <w:r>
        <w:rPr>
          <w:rFonts w:ascii="宋体" w:eastAsia="宋体" w:hAnsi="宋体"/>
          <w:color w:val="000000"/>
          <w:sz w:val="24"/>
          <w:szCs w:val="24"/>
        </w:rPr>
        <w:t>特色农具：踏犁、公婆犁、秧船、摘禾刀、饼印、独木桶等。</w:t>
      </w:r>
    </w:p>
    <w:p w:rsidR="005F0B5C" w:rsidRDefault="004E1299">
      <w:pPr>
        <w:snapToGrid w:val="0"/>
        <w:spacing w:line="360" w:lineRule="auto"/>
        <w:rPr>
          <w:rFonts w:ascii="宋体" w:eastAsia="宋体" w:hAnsi="宋体"/>
          <w:b/>
          <w:bCs/>
          <w:color w:val="000000"/>
          <w:sz w:val="28"/>
          <w:szCs w:val="28"/>
        </w:rPr>
      </w:pPr>
      <w:r>
        <w:rPr>
          <w:rFonts w:ascii="宋体" w:eastAsia="宋体" w:hAnsi="宋体"/>
          <w:b/>
          <w:bCs/>
          <w:color w:val="000000"/>
          <w:sz w:val="28"/>
          <w:szCs w:val="28"/>
        </w:rPr>
        <w:t>土壤与岩石</w:t>
      </w:r>
    </w:p>
    <w:p w:rsidR="005F0B5C" w:rsidRDefault="004E1299">
      <w:pPr>
        <w:snapToGrid w:val="0"/>
        <w:spacing w:line="360" w:lineRule="auto"/>
        <w:ind w:firstLineChars="200" w:firstLine="480"/>
        <w:jc w:val="left"/>
        <w:rPr>
          <w:rFonts w:ascii="宋体" w:eastAsia="宋体" w:hAnsi="宋体"/>
          <w:color w:val="000000"/>
          <w:sz w:val="24"/>
          <w:szCs w:val="24"/>
        </w:rPr>
      </w:pPr>
      <w:r>
        <w:rPr>
          <w:rFonts w:ascii="宋体" w:eastAsia="宋体" w:hAnsi="宋体"/>
          <w:color w:val="000000"/>
          <w:sz w:val="24"/>
          <w:szCs w:val="24"/>
        </w:rPr>
        <w:t>本厅展示了我国土壤的分布与多样性、丰富多彩的岩矿种类两部分内容。</w:t>
      </w:r>
    </w:p>
    <w:p w:rsidR="005F0B5C" w:rsidRDefault="004E1299">
      <w:pPr>
        <w:snapToGrid w:val="0"/>
        <w:spacing w:line="360" w:lineRule="auto"/>
        <w:ind w:firstLineChars="200" w:firstLine="480"/>
        <w:jc w:val="left"/>
        <w:rPr>
          <w:rFonts w:ascii="宋体" w:eastAsia="宋体" w:hAnsi="宋体"/>
          <w:color w:val="000000"/>
          <w:sz w:val="24"/>
          <w:szCs w:val="24"/>
        </w:rPr>
      </w:pPr>
      <w:r>
        <w:rPr>
          <w:rFonts w:ascii="宋体" w:eastAsia="宋体" w:hAnsi="宋体"/>
          <w:color w:val="000000"/>
          <w:sz w:val="24"/>
          <w:szCs w:val="24"/>
        </w:rPr>
        <w:t>土壤展区：展示我国华南、中南、西部和东北部地区的土壤整段标本</w:t>
      </w:r>
      <w:r w:rsidR="00F13894">
        <w:rPr>
          <w:rFonts w:ascii="宋体" w:eastAsia="宋体" w:hAnsi="宋体"/>
          <w:color w:val="000000"/>
          <w:sz w:val="24"/>
          <w:szCs w:val="24"/>
        </w:rPr>
        <w:t>68</w:t>
      </w:r>
      <w:r>
        <w:rPr>
          <w:rFonts w:ascii="宋体" w:eastAsia="宋体" w:hAnsi="宋体"/>
          <w:color w:val="000000"/>
          <w:sz w:val="24"/>
          <w:szCs w:val="24"/>
        </w:rPr>
        <w:t>个，及土壤利用景观图。</w:t>
      </w:r>
    </w:p>
    <w:p w:rsidR="005F0B5C" w:rsidRDefault="004E1299">
      <w:pPr>
        <w:snapToGrid w:val="0"/>
        <w:spacing w:line="360" w:lineRule="auto"/>
        <w:ind w:firstLineChars="200" w:firstLine="480"/>
        <w:jc w:val="left"/>
        <w:rPr>
          <w:rFonts w:ascii="宋体" w:eastAsia="宋体" w:hAnsi="宋体"/>
          <w:color w:val="000000"/>
          <w:sz w:val="24"/>
          <w:szCs w:val="24"/>
        </w:rPr>
      </w:pPr>
      <w:r>
        <w:rPr>
          <w:rFonts w:ascii="宋体" w:eastAsia="宋体" w:hAnsi="宋体"/>
          <w:color w:val="000000"/>
          <w:sz w:val="24"/>
          <w:szCs w:val="24"/>
        </w:rPr>
        <w:t>岩石与矿物展区：展示岩石、矿物（含宝石）和化石三大类标本，并结合展板和播放器介绍相关知识。</w:t>
      </w:r>
    </w:p>
    <w:p w:rsidR="005F0B5C" w:rsidRDefault="004E1299">
      <w:pPr>
        <w:snapToGrid w:val="0"/>
        <w:spacing w:line="360" w:lineRule="auto"/>
        <w:ind w:firstLineChars="200" w:firstLine="480"/>
        <w:jc w:val="left"/>
        <w:rPr>
          <w:rFonts w:ascii="宋体" w:eastAsia="宋体" w:hAnsi="宋体"/>
          <w:color w:val="000000"/>
          <w:sz w:val="24"/>
          <w:szCs w:val="24"/>
        </w:rPr>
      </w:pPr>
      <w:r>
        <w:rPr>
          <w:rFonts w:ascii="宋体" w:eastAsia="宋体" w:hAnsi="宋体"/>
          <w:color w:val="000000"/>
          <w:sz w:val="24"/>
          <w:szCs w:val="24"/>
        </w:rPr>
        <w:t>其他：中国土壤分布图、土壤分类表、地质年代表。</w:t>
      </w:r>
    </w:p>
    <w:p w:rsidR="005F0B5C" w:rsidRDefault="004E1299">
      <w:pPr>
        <w:snapToGrid w:val="0"/>
        <w:spacing w:line="360" w:lineRule="auto"/>
        <w:rPr>
          <w:rFonts w:ascii="宋体" w:eastAsia="宋体" w:hAnsi="宋体"/>
          <w:b/>
          <w:bCs/>
          <w:color w:val="000000"/>
          <w:sz w:val="28"/>
          <w:szCs w:val="28"/>
        </w:rPr>
      </w:pPr>
      <w:r>
        <w:rPr>
          <w:rFonts w:ascii="宋体" w:eastAsia="宋体" w:hAnsi="宋体"/>
          <w:b/>
          <w:bCs/>
          <w:color w:val="000000"/>
          <w:sz w:val="28"/>
          <w:szCs w:val="28"/>
        </w:rPr>
        <w:t>植物世界</w:t>
      </w:r>
    </w:p>
    <w:p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lastRenderedPageBreak/>
        <w:t>本厅展示了植物类群与演化、植物的生活环境、植物资源多样性与利用等方面的内容，让我们更好地了解植物的生产利用和科学问题。</w:t>
      </w:r>
    </w:p>
    <w:p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植物类群与演化：植物类群表、植物进化示意图。</w:t>
      </w:r>
    </w:p>
    <w:p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植物的生活环境：中国植被图、热带雨林造景、红树林造景。</w:t>
      </w:r>
    </w:p>
    <w:p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维管植物多样性：通过植物腊叶标本展示蕨类、裸子植物、离瓣花、管状花、单子叶植物各类标本；被子植物</w:t>
      </w:r>
      <w:r>
        <w:rPr>
          <w:rFonts w:ascii="Calibri" w:eastAsia="Calibri" w:hAnsi="Calibri"/>
          <w:color w:val="000000"/>
          <w:sz w:val="24"/>
          <w:szCs w:val="24"/>
        </w:rPr>
        <w:t>APG</w:t>
      </w:r>
      <w:r>
        <w:rPr>
          <w:rFonts w:ascii="宋体" w:eastAsia="宋体" w:hAnsi="宋体"/>
          <w:color w:val="000000"/>
          <w:sz w:val="24"/>
          <w:szCs w:val="24"/>
        </w:rPr>
        <w:t>系统树及相应标本；</w:t>
      </w:r>
      <w:r>
        <w:rPr>
          <w:rFonts w:ascii="Calibri" w:eastAsia="Calibri" w:hAnsi="Calibri"/>
          <w:color w:val="000000"/>
          <w:sz w:val="24"/>
          <w:szCs w:val="24"/>
        </w:rPr>
        <w:t>60</w:t>
      </w:r>
      <w:r>
        <w:rPr>
          <w:rFonts w:ascii="宋体" w:eastAsia="宋体" w:hAnsi="宋体"/>
          <w:color w:val="000000"/>
          <w:sz w:val="24"/>
          <w:szCs w:val="24"/>
        </w:rPr>
        <w:t>种果实</w:t>
      </w:r>
      <w:r>
        <w:rPr>
          <w:rFonts w:ascii="Calibri" w:eastAsia="Calibri" w:hAnsi="Calibri"/>
          <w:color w:val="000000"/>
          <w:sz w:val="24"/>
          <w:szCs w:val="24"/>
        </w:rPr>
        <w:t>/</w:t>
      </w:r>
      <w:r>
        <w:rPr>
          <w:rFonts w:ascii="宋体" w:eastAsia="宋体" w:hAnsi="宋体"/>
          <w:color w:val="000000"/>
          <w:sz w:val="24"/>
          <w:szCs w:val="24"/>
        </w:rPr>
        <w:t>种子；珍稀濒危植物。</w:t>
      </w:r>
    </w:p>
    <w:p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植物资源与利用：种子故事（谷类、豆类、其他类）、稻作资源、岭南佳果、药用植物、植物非物质文化遗产、压花艺术。</w:t>
      </w:r>
    </w:p>
    <w:p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植物的危害：入侵植物、农田杂草、植物病害。</w:t>
      </w:r>
    </w:p>
    <w:p w:rsidR="005F0B5C" w:rsidRDefault="004E1299">
      <w:pPr>
        <w:snapToGrid w:val="0"/>
        <w:spacing w:line="360" w:lineRule="auto"/>
        <w:rPr>
          <w:rFonts w:ascii="宋体" w:eastAsia="宋体" w:hAnsi="宋体"/>
          <w:b/>
          <w:bCs/>
          <w:color w:val="000000"/>
          <w:sz w:val="28"/>
          <w:szCs w:val="28"/>
        </w:rPr>
      </w:pPr>
      <w:r>
        <w:rPr>
          <w:rFonts w:ascii="宋体" w:eastAsia="宋体" w:hAnsi="宋体"/>
          <w:b/>
          <w:bCs/>
          <w:color w:val="000000"/>
          <w:sz w:val="28"/>
          <w:szCs w:val="28"/>
        </w:rPr>
        <w:t>林业资源与利用</w:t>
      </w:r>
    </w:p>
    <w:p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本厅展示了木材的种类、木材加工工具及其利用等方面的内容。</w:t>
      </w:r>
    </w:p>
    <w:p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木材的种类：降香黄檀、常用商品材112件卡片标本及31件茎段标本、红木分类图及标本。</w:t>
      </w:r>
    </w:p>
    <w:p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木材加工工具及利用：传统手工木工工具、榫卯结构、罗汉椅、广式椅。</w:t>
      </w:r>
    </w:p>
    <w:p w:rsidR="005F0B5C" w:rsidRDefault="004E1299">
      <w:pPr>
        <w:snapToGrid w:val="0"/>
        <w:spacing w:line="360" w:lineRule="auto"/>
        <w:rPr>
          <w:rFonts w:ascii="宋体" w:eastAsia="宋体" w:hAnsi="宋体"/>
          <w:b/>
          <w:bCs/>
          <w:color w:val="000000"/>
          <w:sz w:val="28"/>
          <w:szCs w:val="28"/>
        </w:rPr>
      </w:pPr>
      <w:r>
        <w:rPr>
          <w:rFonts w:ascii="宋体" w:eastAsia="宋体" w:hAnsi="宋体"/>
          <w:b/>
          <w:bCs/>
          <w:color w:val="000000"/>
          <w:sz w:val="28"/>
          <w:szCs w:val="28"/>
        </w:rPr>
        <w:t>动物世界</w:t>
      </w:r>
    </w:p>
    <w:p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本厅展示了动物的类群、华南野生动物世界、动物生产与疾病防控等方面内容，共展示动物剥制标本、骨骼标本、浸泡标本等</w:t>
      </w:r>
      <w:r>
        <w:rPr>
          <w:rFonts w:ascii="Calibri" w:eastAsia="Calibri" w:hAnsi="Calibri"/>
          <w:color w:val="000000"/>
          <w:sz w:val="24"/>
          <w:szCs w:val="24"/>
        </w:rPr>
        <w:t>242</w:t>
      </w:r>
      <w:r>
        <w:rPr>
          <w:rFonts w:ascii="宋体" w:eastAsia="宋体" w:hAnsi="宋体"/>
          <w:color w:val="000000"/>
          <w:sz w:val="24"/>
          <w:szCs w:val="24"/>
        </w:rPr>
        <w:t>件。</w:t>
      </w:r>
    </w:p>
    <w:p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动物的类群展区通过展柜按照动物演化的顺序展示了无脊椎动物、鱼类、两栖类、爬行类、鸟类和哺乳类等动物标本。</w:t>
      </w:r>
    </w:p>
    <w:p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动物生产与疾病防控展区通过微场景展示了华南地区主要的鸡、鸭、鹅、猪、牛、羊、宠物、珍禽等标本和部分动物疾病病理标本。</w:t>
      </w:r>
    </w:p>
    <w:p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华南野生动物展区通过微场景展示了具有华南地区特色的华南虎、海南坡鹿、黄腹角雉、圆鼻巨蜥、穿山甲、蜂猴等标本。</w:t>
      </w:r>
    </w:p>
    <w:p w:rsidR="005F0B5C" w:rsidRDefault="004E1299">
      <w:pPr>
        <w:snapToGrid w:val="0"/>
        <w:spacing w:line="360" w:lineRule="auto"/>
        <w:rPr>
          <w:rFonts w:ascii="宋体" w:eastAsia="宋体" w:hAnsi="宋体"/>
          <w:b/>
          <w:bCs/>
          <w:color w:val="000000"/>
          <w:sz w:val="28"/>
          <w:szCs w:val="28"/>
        </w:rPr>
      </w:pPr>
      <w:r>
        <w:rPr>
          <w:rFonts w:ascii="宋体" w:eastAsia="宋体" w:hAnsi="宋体"/>
          <w:b/>
          <w:bCs/>
          <w:color w:val="000000"/>
          <w:sz w:val="28"/>
          <w:szCs w:val="28"/>
        </w:rPr>
        <w:t>昆虫世界</w:t>
      </w:r>
    </w:p>
    <w:p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本厅从什么是昆虫、昆虫的多样性、昆虫的利用与危害和洞穴生物等几个方面展现了多彩多姿的昆虫世界。</w:t>
      </w:r>
    </w:p>
    <w:p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昆虫的基本识别特征：通过节肢动物门各类标本进行对比。</w:t>
      </w:r>
    </w:p>
    <w:p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昆虫多样性：昆虫进化树、甲虫家族、蝶蛾家族、蜻蜓家族、古昆虫琥珀、</w:t>
      </w:r>
      <w:r>
        <w:rPr>
          <w:rFonts w:ascii="宋体" w:eastAsia="宋体" w:hAnsi="宋体"/>
          <w:color w:val="000000"/>
          <w:sz w:val="24"/>
          <w:szCs w:val="24"/>
        </w:rPr>
        <w:lastRenderedPageBreak/>
        <w:t>体貌多样的昆虫、食性多样的昆虫、昆虫的伪装和拟态（附昆虫伪装生态箱）。</w:t>
      </w:r>
    </w:p>
    <w:p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昆虫的利用与危害：观赏昆虫、传粉昆虫、食药用昆虫、工业原料昆虫、害虫与其防治。</w:t>
      </w:r>
    </w:p>
    <w:p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洞穴生物多样性：各类洞穴生物、步甲和马陆。</w:t>
      </w:r>
    </w:p>
    <w:p w:rsidR="005F0B5C" w:rsidRDefault="004E1299">
      <w:pPr>
        <w:snapToGrid w:val="0"/>
        <w:spacing w:line="360" w:lineRule="auto"/>
        <w:rPr>
          <w:rFonts w:ascii="宋体" w:eastAsia="宋体" w:hAnsi="宋体"/>
          <w:b/>
          <w:bCs/>
          <w:color w:val="000000"/>
          <w:sz w:val="28"/>
          <w:szCs w:val="28"/>
        </w:rPr>
      </w:pPr>
      <w:r>
        <w:rPr>
          <w:rFonts w:ascii="宋体" w:eastAsia="宋体" w:hAnsi="宋体"/>
          <w:b/>
          <w:bCs/>
          <w:color w:val="000000"/>
          <w:sz w:val="28"/>
          <w:szCs w:val="28"/>
        </w:rPr>
        <w:t>南海海洋生物</w:t>
      </w:r>
    </w:p>
    <w:p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本厅展示了南海最具代表性的珊瑚礁生态系统和海洋生物的多样性，共展示标本</w:t>
      </w:r>
      <w:r>
        <w:rPr>
          <w:rFonts w:ascii="Calibri" w:eastAsia="Calibri" w:hAnsi="Calibri"/>
          <w:color w:val="000000"/>
          <w:sz w:val="24"/>
          <w:szCs w:val="24"/>
        </w:rPr>
        <w:t>200</w:t>
      </w:r>
      <w:r>
        <w:rPr>
          <w:rFonts w:ascii="宋体" w:eastAsia="宋体" w:hAnsi="宋体"/>
          <w:color w:val="000000"/>
          <w:sz w:val="24"/>
          <w:szCs w:val="24"/>
        </w:rPr>
        <w:t>多种、</w:t>
      </w:r>
      <w:r>
        <w:rPr>
          <w:rFonts w:ascii="Calibri" w:eastAsia="Calibri" w:hAnsi="Calibri"/>
          <w:color w:val="000000"/>
          <w:sz w:val="24"/>
          <w:szCs w:val="24"/>
        </w:rPr>
        <w:t>550</w:t>
      </w:r>
      <w:r>
        <w:rPr>
          <w:rFonts w:ascii="宋体" w:eastAsia="宋体" w:hAnsi="宋体"/>
          <w:color w:val="000000"/>
          <w:sz w:val="24"/>
          <w:szCs w:val="24"/>
        </w:rPr>
        <w:t>多件。</w:t>
      </w:r>
    </w:p>
    <w:p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珊瑚礁生态系统展区通过珊瑚、鱼类等实物标本和声光电系统打造了一个较为逼真的海洋场景。</w:t>
      </w:r>
    </w:p>
    <w:p w:rsidR="005F0B5C" w:rsidRDefault="004E1299">
      <w:pPr>
        <w:snapToGrid w:val="0"/>
        <w:spacing w:line="360" w:lineRule="auto"/>
        <w:ind w:firstLineChars="200" w:firstLine="480"/>
        <w:rPr>
          <w:rFonts w:ascii="宋体" w:eastAsia="宋体" w:hAnsi="宋体"/>
          <w:color w:val="000000"/>
          <w:sz w:val="24"/>
          <w:szCs w:val="24"/>
        </w:rPr>
      </w:pPr>
      <w:r>
        <w:rPr>
          <w:rFonts w:ascii="宋体" w:eastAsia="宋体" w:hAnsi="宋体"/>
          <w:color w:val="000000"/>
          <w:sz w:val="24"/>
          <w:szCs w:val="24"/>
        </w:rPr>
        <w:t>海洋生物的多样性展区通过展柜展示了鱼类、虾蟹类、贝类、海星等标本。</w:t>
      </w:r>
    </w:p>
    <w:p w:rsidR="005F0B5C" w:rsidRDefault="005F0B5C">
      <w:pPr>
        <w:snapToGrid w:val="0"/>
        <w:spacing w:line="360" w:lineRule="auto"/>
        <w:rPr>
          <w:rFonts w:ascii="宋体" w:eastAsia="宋体" w:hAnsi="宋体"/>
          <w:color w:val="000000"/>
          <w:sz w:val="24"/>
          <w:szCs w:val="24"/>
        </w:rPr>
      </w:pPr>
    </w:p>
    <w:p w:rsidR="005F0B5C" w:rsidRDefault="004E1299">
      <w:pPr>
        <w:snapToGrid w:val="0"/>
        <w:spacing w:line="360" w:lineRule="auto"/>
        <w:rPr>
          <w:rFonts w:ascii="宋体" w:eastAsia="宋体" w:hAnsi="宋体"/>
          <w:color w:val="FF0000"/>
          <w:sz w:val="24"/>
          <w:szCs w:val="24"/>
        </w:rPr>
      </w:pPr>
      <w:r>
        <w:rPr>
          <w:rFonts w:ascii="宋体" w:eastAsia="宋体" w:hAnsi="宋体"/>
          <w:b/>
          <w:bCs/>
          <w:color w:val="FF0000"/>
          <w:sz w:val="24"/>
          <w:szCs w:val="24"/>
        </w:rPr>
        <w:t>注</w:t>
      </w:r>
      <w:r>
        <w:rPr>
          <w:rFonts w:ascii="宋体" w:eastAsia="宋体" w:hAnsi="宋体"/>
          <w:color w:val="FF0000"/>
          <w:sz w:val="24"/>
          <w:szCs w:val="24"/>
        </w:rPr>
        <w:t>：除广东农业历史、传统农具和南海海洋生物展厅</w:t>
      </w:r>
      <w:r>
        <w:rPr>
          <w:rFonts w:ascii="宋体" w:eastAsia="宋体" w:hAnsi="宋体" w:hint="eastAsia"/>
          <w:color w:val="FF0000"/>
          <w:sz w:val="24"/>
          <w:szCs w:val="24"/>
        </w:rPr>
        <w:t>外，其它</w:t>
      </w:r>
      <w:r>
        <w:rPr>
          <w:rFonts w:ascii="宋体" w:eastAsia="宋体" w:hAnsi="宋体"/>
          <w:color w:val="FF0000"/>
          <w:sz w:val="24"/>
          <w:szCs w:val="24"/>
        </w:rPr>
        <w:t>展厅均</w:t>
      </w:r>
      <w:r>
        <w:rPr>
          <w:rFonts w:ascii="宋体" w:eastAsia="宋体" w:hAnsi="宋体" w:hint="eastAsia"/>
          <w:color w:val="FF0000"/>
          <w:sz w:val="24"/>
          <w:szCs w:val="24"/>
        </w:rPr>
        <w:t>设</w:t>
      </w:r>
      <w:r>
        <w:rPr>
          <w:rFonts w:ascii="宋体" w:eastAsia="宋体" w:hAnsi="宋体"/>
          <w:color w:val="FF0000"/>
          <w:sz w:val="24"/>
          <w:szCs w:val="24"/>
        </w:rPr>
        <w:t>有一个</w:t>
      </w:r>
      <w:r>
        <w:rPr>
          <w:rFonts w:ascii="Calibri" w:eastAsia="Calibri" w:hAnsi="Calibri"/>
          <w:color w:val="FF0000"/>
          <w:sz w:val="24"/>
          <w:szCs w:val="24"/>
        </w:rPr>
        <w:t>55</w:t>
      </w:r>
      <w:r>
        <w:rPr>
          <w:rFonts w:ascii="宋体" w:eastAsia="宋体" w:hAnsi="宋体"/>
          <w:color w:val="FF0000"/>
          <w:sz w:val="24"/>
          <w:szCs w:val="24"/>
        </w:rPr>
        <w:t>寸的</w:t>
      </w:r>
      <w:r>
        <w:rPr>
          <w:rFonts w:ascii="宋体" w:eastAsia="宋体" w:hAnsi="宋体" w:hint="eastAsia"/>
          <w:color w:val="FF0000"/>
          <w:sz w:val="24"/>
          <w:szCs w:val="24"/>
        </w:rPr>
        <w:t>触摸</w:t>
      </w:r>
      <w:r>
        <w:rPr>
          <w:rFonts w:ascii="宋体" w:eastAsia="宋体" w:hAnsi="宋体"/>
          <w:color w:val="FF0000"/>
          <w:sz w:val="24"/>
          <w:szCs w:val="24"/>
        </w:rPr>
        <w:t>屏，可插</w:t>
      </w:r>
      <w:r>
        <w:rPr>
          <w:rFonts w:ascii="Calibri" w:eastAsia="Calibri" w:hAnsi="Calibri"/>
          <w:color w:val="FF0000"/>
          <w:sz w:val="24"/>
          <w:szCs w:val="24"/>
        </w:rPr>
        <w:t>U</w:t>
      </w:r>
      <w:r>
        <w:rPr>
          <w:rFonts w:ascii="宋体" w:eastAsia="宋体" w:hAnsi="宋体"/>
          <w:color w:val="FF0000"/>
          <w:sz w:val="24"/>
          <w:szCs w:val="24"/>
        </w:rPr>
        <w:t>盘</w:t>
      </w:r>
      <w:r>
        <w:rPr>
          <w:rFonts w:ascii="宋体" w:eastAsia="宋体" w:hAnsi="宋体" w:hint="eastAsia"/>
          <w:color w:val="FF0000"/>
          <w:sz w:val="24"/>
          <w:szCs w:val="24"/>
        </w:rPr>
        <w:t>、</w:t>
      </w:r>
      <w:r>
        <w:rPr>
          <w:rFonts w:ascii="宋体" w:eastAsia="宋体" w:hAnsi="宋体"/>
          <w:color w:val="FF0000"/>
          <w:sz w:val="24"/>
          <w:szCs w:val="24"/>
        </w:rPr>
        <w:t>播放课件</w:t>
      </w:r>
      <w:r>
        <w:rPr>
          <w:rFonts w:ascii="宋体" w:eastAsia="宋体" w:hAnsi="宋体" w:hint="eastAsia"/>
          <w:color w:val="FF0000"/>
          <w:sz w:val="24"/>
          <w:szCs w:val="24"/>
        </w:rPr>
        <w:t>。</w:t>
      </w:r>
    </w:p>
    <w:sectPr w:rsidR="005F0B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37D43"/>
    <w:multiLevelType w:val="multilevel"/>
    <w:tmpl w:val="1E537D43"/>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1" w15:restartNumberingAfterBreak="0">
    <w:nsid w:val="323C7824"/>
    <w:multiLevelType w:val="multilevel"/>
    <w:tmpl w:val="323C782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2" w15:restartNumberingAfterBreak="0">
    <w:nsid w:val="513362E4"/>
    <w:multiLevelType w:val="multilevel"/>
    <w:tmpl w:val="513362E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3" w15:restartNumberingAfterBreak="0">
    <w:nsid w:val="5AA9370F"/>
    <w:multiLevelType w:val="multilevel"/>
    <w:tmpl w:val="5AA9370F"/>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4" w15:restartNumberingAfterBreak="0">
    <w:nsid w:val="5AA93721"/>
    <w:multiLevelType w:val="multilevel"/>
    <w:tmpl w:val="5AA937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5" w15:restartNumberingAfterBreak="0">
    <w:nsid w:val="5AA9374C"/>
    <w:multiLevelType w:val="multilevel"/>
    <w:tmpl w:val="5AA9374C"/>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6" w15:restartNumberingAfterBreak="0">
    <w:nsid w:val="5AA93847"/>
    <w:multiLevelType w:val="multilevel"/>
    <w:tmpl w:val="5AA93847"/>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7" w15:restartNumberingAfterBreak="0">
    <w:nsid w:val="5AA9385D"/>
    <w:multiLevelType w:val="multilevel"/>
    <w:tmpl w:val="5AA9385D"/>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8" w15:restartNumberingAfterBreak="0">
    <w:nsid w:val="5AA93871"/>
    <w:multiLevelType w:val="multilevel"/>
    <w:tmpl w:val="5AA9387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9" w15:restartNumberingAfterBreak="0">
    <w:nsid w:val="5AA93884"/>
    <w:multiLevelType w:val="multilevel"/>
    <w:tmpl w:val="5AA9388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0" w15:restartNumberingAfterBreak="0">
    <w:nsid w:val="5AA938A6"/>
    <w:multiLevelType w:val="multilevel"/>
    <w:tmpl w:val="5AA938A6"/>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1" w15:restartNumberingAfterBreak="0">
    <w:nsid w:val="5AA938BA"/>
    <w:multiLevelType w:val="multilevel"/>
    <w:tmpl w:val="5AA938B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2" w15:restartNumberingAfterBreak="0">
    <w:nsid w:val="5AA939C1"/>
    <w:multiLevelType w:val="multilevel"/>
    <w:tmpl w:val="5AA939C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3" w15:restartNumberingAfterBreak="0">
    <w:nsid w:val="5AA939F5"/>
    <w:multiLevelType w:val="multilevel"/>
    <w:tmpl w:val="5AA939F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4" w15:restartNumberingAfterBreak="0">
    <w:nsid w:val="5AA93A09"/>
    <w:multiLevelType w:val="multilevel"/>
    <w:tmpl w:val="5AA93A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5" w15:restartNumberingAfterBreak="0">
    <w:nsid w:val="5AA9DAE5"/>
    <w:multiLevelType w:val="multilevel"/>
    <w:tmpl w:val="5AA9DAE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6" w15:restartNumberingAfterBreak="0">
    <w:nsid w:val="5AA9DAF8"/>
    <w:multiLevelType w:val="multilevel"/>
    <w:tmpl w:val="5AA9DAF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7" w15:restartNumberingAfterBreak="0">
    <w:nsid w:val="5AA9DB09"/>
    <w:multiLevelType w:val="multilevel"/>
    <w:tmpl w:val="5AA9DB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8" w15:restartNumberingAfterBreak="0">
    <w:nsid w:val="5AA9DB19"/>
    <w:multiLevelType w:val="multilevel"/>
    <w:tmpl w:val="5AA9DB1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9" w15:restartNumberingAfterBreak="0">
    <w:nsid w:val="5AA9DB29"/>
    <w:multiLevelType w:val="multilevel"/>
    <w:tmpl w:val="5AA9DB2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0" w15:restartNumberingAfterBreak="0">
    <w:nsid w:val="5AA9DB3A"/>
    <w:multiLevelType w:val="multilevel"/>
    <w:tmpl w:val="5AA9DB3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1" w15:restartNumberingAfterBreak="0">
    <w:nsid w:val="5AA9DB4A"/>
    <w:multiLevelType w:val="multilevel"/>
    <w:tmpl w:val="5AA9DB4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2" w15:restartNumberingAfterBreak="0">
    <w:nsid w:val="5AA9DB5A"/>
    <w:multiLevelType w:val="multilevel"/>
    <w:tmpl w:val="5AA9DB5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3" w15:restartNumberingAfterBreak="0">
    <w:nsid w:val="5AA9DC10"/>
    <w:multiLevelType w:val="multilevel"/>
    <w:tmpl w:val="5AA9DC10"/>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4" w15:restartNumberingAfterBreak="0">
    <w:nsid w:val="5AA9DC21"/>
    <w:multiLevelType w:val="multilevel"/>
    <w:tmpl w:val="5AA9DC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5" w15:restartNumberingAfterBreak="0">
    <w:nsid w:val="5AA9DC48"/>
    <w:multiLevelType w:val="multilevel"/>
    <w:tmpl w:val="5AA9DC4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6" w15:restartNumberingAfterBreak="0">
    <w:nsid w:val="5AA9DC59"/>
    <w:multiLevelType w:val="multilevel"/>
    <w:tmpl w:val="5AA9DC5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7" w15:restartNumberingAfterBreak="0">
    <w:nsid w:val="5AA9DD04"/>
    <w:multiLevelType w:val="multilevel"/>
    <w:tmpl w:val="5AA9DD0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8" w15:restartNumberingAfterBreak="0">
    <w:nsid w:val="5AA9DD14"/>
    <w:multiLevelType w:val="multilevel"/>
    <w:tmpl w:val="5AA9DD1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9" w15:restartNumberingAfterBreak="0">
    <w:nsid w:val="5AA9DD24"/>
    <w:multiLevelType w:val="multilevel"/>
    <w:tmpl w:val="5AA9DD2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0" w15:restartNumberingAfterBreak="0">
    <w:nsid w:val="5B4947AB"/>
    <w:multiLevelType w:val="multilevel"/>
    <w:tmpl w:val="5B4947AB"/>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num w:numId="1">
    <w:abstractNumId w:val="30"/>
  </w:num>
  <w:num w:numId="2">
    <w:abstractNumId w:val="5"/>
  </w:num>
  <w:num w:numId="3">
    <w:abstractNumId w:val="3"/>
  </w:num>
  <w:num w:numId="4">
    <w:abstractNumId w:val="4"/>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1"/>
  </w:num>
  <w:num w:numId="30">
    <w:abstractNumId w:val="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1A"/>
    <w:rsid w:val="000C51B7"/>
    <w:rsid w:val="00216EB9"/>
    <w:rsid w:val="004407E6"/>
    <w:rsid w:val="004E1299"/>
    <w:rsid w:val="0059531B"/>
    <w:rsid w:val="005F0B5C"/>
    <w:rsid w:val="00616505"/>
    <w:rsid w:val="0062213C"/>
    <w:rsid w:val="00633F40"/>
    <w:rsid w:val="006549AD"/>
    <w:rsid w:val="00684D9C"/>
    <w:rsid w:val="00A60633"/>
    <w:rsid w:val="00BA0C1A"/>
    <w:rsid w:val="00C061CB"/>
    <w:rsid w:val="00C604EC"/>
    <w:rsid w:val="00E26251"/>
    <w:rsid w:val="00EA1EE8"/>
    <w:rsid w:val="00F13894"/>
    <w:rsid w:val="00F53662"/>
    <w:rsid w:val="083D07F0"/>
    <w:rsid w:val="105E3B74"/>
    <w:rsid w:val="1C2C4424"/>
    <w:rsid w:val="1CD54CE6"/>
    <w:rsid w:val="1DEC38DC"/>
    <w:rsid w:val="30456175"/>
    <w:rsid w:val="36772279"/>
    <w:rsid w:val="434067C1"/>
    <w:rsid w:val="568D20C3"/>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14:docId w14:val="24A7D07E"/>
  <w15:docId w15:val="{20DE070A-6068-41E9-B520-D45B669F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F92390-1EFB-46DD-8343-4526A2DAC20A}">
  <ds:schemaRefs>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247</Words>
  <Characters>1414</Characters>
  <Application>Microsoft Office Word</Application>
  <DocSecurity>0</DocSecurity>
  <Lines>11</Lines>
  <Paragraphs>3</Paragraphs>
  <ScaleCrop>false</ScaleCrop>
  <Company>Microsoft</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刘崚嵘</cp:lastModifiedBy>
  <cp:revision>4</cp:revision>
  <dcterms:created xsi:type="dcterms:W3CDTF">2021-01-07T08:43:00Z</dcterms:created>
  <dcterms:modified xsi:type="dcterms:W3CDTF">2024-01-05T01:08:00Z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